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51014" w14:textId="7782F850" w:rsidR="00582093" w:rsidRPr="008B650D" w:rsidRDefault="008B650D" w:rsidP="00582093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8B650D">
        <w:rPr>
          <w:rFonts w:ascii="Times New Roman" w:hAnsi="Times New Roman" w:cs="Times New Roman"/>
          <w:b/>
          <w:sz w:val="20"/>
          <w:szCs w:val="20"/>
          <w:lang w:val="en-US"/>
        </w:rPr>
        <w:t>Supplement S</w:t>
      </w:r>
      <w:r w:rsidR="00A73ECC">
        <w:rPr>
          <w:rFonts w:ascii="Times New Roman" w:hAnsi="Times New Roman" w:cs="Times New Roman"/>
          <w:b/>
          <w:sz w:val="20"/>
          <w:szCs w:val="20"/>
          <w:lang w:val="en-US"/>
        </w:rPr>
        <w:t>2</w:t>
      </w:r>
      <w:r w:rsidR="00582093" w:rsidRPr="008B650D">
        <w:rPr>
          <w:rFonts w:ascii="Times New Roman" w:hAnsi="Times New Roman" w:cs="Times New Roman"/>
          <w:sz w:val="20"/>
          <w:szCs w:val="20"/>
          <w:lang w:val="en-US"/>
        </w:rPr>
        <w:t xml:space="preserve"> Brief description of </w:t>
      </w:r>
      <w:r w:rsidR="008A69DA" w:rsidRPr="008B650D">
        <w:rPr>
          <w:rFonts w:ascii="Times New Roman" w:hAnsi="Times New Roman" w:cs="Times New Roman"/>
          <w:sz w:val="20"/>
          <w:szCs w:val="20"/>
          <w:lang w:val="en-US"/>
        </w:rPr>
        <w:t>cognitive</w:t>
      </w:r>
      <w:r w:rsidR="00582093" w:rsidRPr="008B650D">
        <w:rPr>
          <w:rFonts w:ascii="Times New Roman" w:hAnsi="Times New Roman" w:cs="Times New Roman"/>
          <w:sz w:val="20"/>
          <w:szCs w:val="20"/>
          <w:lang w:val="en-US"/>
        </w:rPr>
        <w:t xml:space="preserve"> scores</w:t>
      </w:r>
      <w:r w:rsidR="00EE6388" w:rsidRPr="008B650D">
        <w:rPr>
          <w:rFonts w:ascii="Times New Roman" w:hAnsi="Times New Roman" w:cs="Times New Roman"/>
          <w:sz w:val="20"/>
          <w:szCs w:val="20"/>
          <w:lang w:val="en-US"/>
        </w:rPr>
        <w:t xml:space="preserve"> and subtests</w:t>
      </w:r>
      <w:r w:rsidR="00582093" w:rsidRPr="008B650D">
        <w:rPr>
          <w:rFonts w:ascii="Times New Roman" w:hAnsi="Times New Roman" w:cs="Times New Roman"/>
          <w:sz w:val="20"/>
          <w:szCs w:val="20"/>
          <w:lang w:val="en-US"/>
        </w:rPr>
        <w:t xml:space="preserve"> investigated </w:t>
      </w:r>
    </w:p>
    <w:tbl>
      <w:tblPr>
        <w:tblStyle w:val="Tabellenraster"/>
        <w:tblpPr w:leftFromText="141" w:rightFromText="141" w:vertAnchor="page" w:horzAnchor="margin" w:tblpY="1909"/>
        <w:tblW w:w="1431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1289"/>
        <w:gridCol w:w="2410"/>
        <w:gridCol w:w="9639"/>
      </w:tblGrid>
      <w:tr w:rsidR="00EC6D78" w:rsidRPr="00575820" w14:paraId="1419E687" w14:textId="77777777" w:rsidTr="00D92CC4">
        <w:tc>
          <w:tcPr>
            <w:tcW w:w="979" w:type="dxa"/>
            <w:tcBorders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30368D75" w14:textId="77777777" w:rsidR="00EC6D78" w:rsidRPr="008B650D" w:rsidRDefault="00EC6D78" w:rsidP="007B630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</w:pPr>
            <w:r w:rsidRPr="008B65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Test battery</w:t>
            </w:r>
          </w:p>
        </w:tc>
        <w:tc>
          <w:tcPr>
            <w:tcW w:w="1289" w:type="dxa"/>
            <w:tcBorders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37DD9234" w14:textId="6D9406EA" w:rsidR="00EC6D78" w:rsidRPr="008B650D" w:rsidRDefault="00EC6D78" w:rsidP="00EC6D78">
            <w:pPr>
              <w:ind w:left="-9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8B65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Score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4A3EA06B" w14:textId="708B693A" w:rsidR="00EC6D78" w:rsidRPr="008B650D" w:rsidRDefault="00D92CC4" w:rsidP="00D92C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8B65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Name of the score</w:t>
            </w:r>
            <w:r w:rsidR="00EC6D78" w:rsidRPr="008B65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specific subtests</w:t>
            </w:r>
            <w:r w:rsidR="00EE6388" w:rsidRPr="008B65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/value</w:t>
            </w:r>
          </w:p>
        </w:tc>
        <w:tc>
          <w:tcPr>
            <w:tcW w:w="9639" w:type="dxa"/>
            <w:tcBorders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5F9D064E" w14:textId="47B5611F" w:rsidR="00EC6D78" w:rsidRPr="008B650D" w:rsidRDefault="00D92CC4" w:rsidP="007B63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8B65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Description of the score specific</w:t>
            </w:r>
            <w:r w:rsidR="00EE6388" w:rsidRPr="008B65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subtests/value</w:t>
            </w:r>
          </w:p>
        </w:tc>
      </w:tr>
      <w:tr w:rsidR="00EC6D78" w:rsidRPr="00575820" w14:paraId="16C41F2F" w14:textId="77777777" w:rsidTr="00D92CC4">
        <w:tc>
          <w:tcPr>
            <w:tcW w:w="979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40AD82E3" w14:textId="6EBBC62A" w:rsidR="00EC6D78" w:rsidRPr="00575820" w:rsidRDefault="00EC6D78" w:rsidP="007B630E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WIE</w:t>
            </w:r>
            <w:r w:rsidR="00575820" w:rsidRPr="00575820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289" w:type="dxa"/>
            <w:vMerge w:val="restart"/>
            <w:tcBorders>
              <w:left w:val="nil"/>
              <w:right w:val="nil"/>
            </w:tcBorders>
            <w:vAlign w:val="center"/>
          </w:tcPr>
          <w:p w14:paraId="5B8320FF" w14:textId="69A553C6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Working memory index</w:t>
            </w:r>
          </w:p>
        </w:tc>
        <w:tc>
          <w:tcPr>
            <w:tcW w:w="2410" w:type="dxa"/>
            <w:vMerge w:val="restart"/>
            <w:tcBorders>
              <w:left w:val="nil"/>
              <w:right w:val="nil"/>
            </w:tcBorders>
            <w:vAlign w:val="center"/>
          </w:tcPr>
          <w:p w14:paraId="5095AB01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39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CE3370" w14:textId="36E0D37E" w:rsidR="00EC6D78" w:rsidRPr="008B650D" w:rsidRDefault="00EC6D78" w:rsidP="005758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B650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 xml:space="preserve">Working memory index is a compilation of the subtests </w:t>
            </w:r>
            <w:r w:rsidRPr="008B650D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  <w:lang w:val="en-GB"/>
              </w:rPr>
              <w:t>letter number sequence</w:t>
            </w:r>
            <w:r w:rsidRPr="008B650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 xml:space="preserve">, </w:t>
            </w:r>
            <w:r w:rsidRPr="008B650D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  <w:lang w:val="en-GB"/>
              </w:rPr>
              <w:t>computational thinking</w:t>
            </w:r>
            <w:r w:rsidRPr="008B650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 xml:space="preserve"> and </w:t>
            </w:r>
            <w:r w:rsidRPr="008B650D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  <w:lang w:val="en-GB"/>
              </w:rPr>
              <w:t>repeat numbers</w:t>
            </w:r>
            <w:r w:rsidRPr="008B650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.</w:t>
            </w:r>
          </w:p>
        </w:tc>
      </w:tr>
      <w:tr w:rsidR="00EC6D78" w:rsidRPr="00575820" w14:paraId="4C5AF1BE" w14:textId="77777777" w:rsidTr="00D92CC4">
        <w:trPr>
          <w:trHeight w:val="524"/>
        </w:trPr>
        <w:tc>
          <w:tcPr>
            <w:tcW w:w="979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7CED0E5C" w14:textId="77777777" w:rsidR="00EC6D78" w:rsidRPr="008B650D" w:rsidRDefault="00EC6D78" w:rsidP="007B630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8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D4CD9C8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84B98F5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3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7DDE7" w14:textId="77777777" w:rsidR="00EC6D78" w:rsidRPr="008B650D" w:rsidRDefault="00EC6D78" w:rsidP="005758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C6D78" w:rsidRPr="00575820" w14:paraId="42A69175" w14:textId="77777777" w:rsidTr="00D92CC4">
        <w:trPr>
          <w:trHeight w:val="688"/>
        </w:trPr>
        <w:tc>
          <w:tcPr>
            <w:tcW w:w="97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57F8F0CC" w14:textId="77777777" w:rsidR="00EC6D78" w:rsidRPr="008B650D" w:rsidRDefault="00EC6D78" w:rsidP="007B63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A95BC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EF5AF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Letter number sequence</w:t>
            </w: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410BE" w14:textId="35DC3658" w:rsidR="00EC6D78" w:rsidRPr="008B650D" w:rsidRDefault="00EC6D78" w:rsidP="005758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</w:t>
            </w:r>
            <w:r w:rsidR="008B650D"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investigator </w:t>
            </w: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reads a series of letters and numbers of different lengths to the subject. The </w:t>
            </w:r>
            <w:r w:rsidR="00A85705"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ubject </w:t>
            </w:r>
            <w:r w:rsidR="008B650D"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has to </w:t>
            </w: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memorize and then reproduce them, first repeating the numbers in ascending order and then the letters in alphabetical order.</w:t>
            </w:r>
          </w:p>
        </w:tc>
      </w:tr>
      <w:tr w:rsidR="00EC6D78" w:rsidRPr="00575820" w14:paraId="409D78E3" w14:textId="77777777" w:rsidTr="00D92CC4">
        <w:trPr>
          <w:trHeight w:val="698"/>
        </w:trPr>
        <w:tc>
          <w:tcPr>
            <w:tcW w:w="97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0B2717BD" w14:textId="77777777" w:rsidR="00EC6D78" w:rsidRPr="008B650D" w:rsidRDefault="00EC6D78" w:rsidP="007B63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66627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9E4B9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Computational thinking</w:t>
            </w: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85F1A" w14:textId="4A5B7F11" w:rsidR="00EC6D78" w:rsidRPr="008B650D" w:rsidRDefault="00EC6D78" w:rsidP="005758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</w:t>
            </w:r>
            <w:r w:rsidR="008B650D"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investigator </w:t>
            </w: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reads a series of arithmetic problems to the subject. The subject must solve them in his or her </w:t>
            </w:r>
            <w:r w:rsidR="008B650D"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mind</w:t>
            </w: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answer orally.</w:t>
            </w:r>
          </w:p>
        </w:tc>
      </w:tr>
      <w:tr w:rsidR="00EC6D78" w:rsidRPr="00575820" w14:paraId="775D467E" w14:textId="77777777" w:rsidTr="002C10FE">
        <w:trPr>
          <w:trHeight w:val="708"/>
        </w:trPr>
        <w:tc>
          <w:tcPr>
            <w:tcW w:w="979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4336957" w14:textId="77777777" w:rsidR="00EC6D78" w:rsidRPr="008B650D" w:rsidRDefault="00EC6D78" w:rsidP="007B63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D1661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0771B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Repeat numbers</w:t>
            </w: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627FE" w14:textId="51C0845B" w:rsidR="00EC6D78" w:rsidRPr="008B650D" w:rsidRDefault="00EC6D78" w:rsidP="005758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</w:t>
            </w:r>
            <w:r w:rsidR="008B650D"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investigator</w:t>
            </w: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presents a series of digit sequences of different lengths. The subject </w:t>
            </w:r>
            <w:r w:rsidR="008B650D"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has to</w:t>
            </w: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repeat the series verbally, partly in the same and partly in the opposite order.</w:t>
            </w:r>
          </w:p>
        </w:tc>
      </w:tr>
      <w:tr w:rsidR="00654A87" w:rsidRPr="00575820" w14:paraId="114DFA8A" w14:textId="77777777" w:rsidTr="002C10FE">
        <w:trPr>
          <w:trHeight w:val="708"/>
        </w:trPr>
        <w:tc>
          <w:tcPr>
            <w:tcW w:w="97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F62F5AF" w14:textId="77777777" w:rsidR="00654A87" w:rsidRPr="008B650D" w:rsidRDefault="00654A87" w:rsidP="007B63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AB515" w14:textId="77777777" w:rsidR="00654A87" w:rsidRPr="000D4904" w:rsidRDefault="00654A87" w:rsidP="00654A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49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Working speed</w:t>
            </w:r>
          </w:p>
          <w:p w14:paraId="527805F4" w14:textId="6F2E8394" w:rsidR="00654A87" w:rsidRPr="00A76F57" w:rsidRDefault="00654A87" w:rsidP="00654A8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0D49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index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93123" w14:textId="5E4851CE" w:rsidR="00654A87" w:rsidRPr="00A76F57" w:rsidRDefault="00654A87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F0133" w14:textId="3CD9DCB3" w:rsidR="00654A87" w:rsidRPr="00A76F57" w:rsidRDefault="002C10FE" w:rsidP="00575820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0D490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 xml:space="preserve">Working speed index is a compilation of the subtests </w:t>
            </w:r>
            <w:r w:rsidRPr="000D4904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  <w:lang w:val="en-GB"/>
              </w:rPr>
              <w:t>symbol search</w:t>
            </w:r>
            <w:r w:rsidRPr="000D490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 xml:space="preserve"> and </w:t>
            </w:r>
            <w:r w:rsidRPr="000D4904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  <w:lang w:val="en-GB"/>
              </w:rPr>
              <w:t>complete images</w:t>
            </w:r>
            <w:r w:rsidRPr="000D490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.</w:t>
            </w:r>
          </w:p>
        </w:tc>
      </w:tr>
      <w:tr w:rsidR="002C10FE" w:rsidRPr="00575820" w14:paraId="21B46EE1" w14:textId="77777777" w:rsidTr="002C10FE">
        <w:trPr>
          <w:trHeight w:val="708"/>
        </w:trPr>
        <w:tc>
          <w:tcPr>
            <w:tcW w:w="97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CB37ACF" w14:textId="77777777" w:rsidR="002C10FE" w:rsidRPr="008B650D" w:rsidRDefault="002C10FE" w:rsidP="002C10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B12C5" w14:textId="77777777" w:rsidR="002C10FE" w:rsidRPr="00A76F57" w:rsidRDefault="002C10FE" w:rsidP="002C10F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BD28E" w14:textId="75C5A59D" w:rsidR="002C10FE" w:rsidRPr="000D4904" w:rsidRDefault="002C10FE" w:rsidP="002C10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49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Symbol search</w:t>
            </w: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1953E5" w14:textId="6038E040" w:rsidR="002C10FE" w:rsidRPr="00A76F57" w:rsidRDefault="002C10FE" w:rsidP="00575820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7371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 a limited time, the subject compares a group of abstract symbols with a target symbol and indicates whether the target symbol is in the search group.</w:t>
            </w:r>
          </w:p>
        </w:tc>
      </w:tr>
      <w:tr w:rsidR="00654A87" w:rsidRPr="00575820" w14:paraId="1BE03600" w14:textId="77777777" w:rsidTr="002C10FE">
        <w:trPr>
          <w:trHeight w:val="708"/>
        </w:trPr>
        <w:tc>
          <w:tcPr>
            <w:tcW w:w="97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914105" w14:textId="77777777" w:rsidR="00654A87" w:rsidRPr="008B650D" w:rsidRDefault="00654A87" w:rsidP="007B63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784232" w14:textId="77777777" w:rsidR="00654A87" w:rsidRPr="00A76F57" w:rsidRDefault="00654A87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9048DD" w14:textId="677B8E70" w:rsidR="00654A87" w:rsidRPr="000D4904" w:rsidRDefault="00654A87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49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Complete images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4811D0" w14:textId="5229C4B4" w:rsidR="00654A87" w:rsidRPr="0073718D" w:rsidRDefault="00BC4D90" w:rsidP="005758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1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 a limited time, t</w:t>
            </w:r>
            <w:r w:rsidR="00654A87" w:rsidRPr="007371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he </w:t>
            </w:r>
            <w:r w:rsidRPr="007371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subject</w:t>
            </w:r>
            <w:r w:rsidR="00654A87" w:rsidRPr="007371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looks at a series of </w:t>
            </w:r>
            <w:r w:rsidR="002C10FE" w:rsidRPr="007371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images</w:t>
            </w:r>
            <w:r w:rsidR="00654A87" w:rsidRPr="007371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</w:t>
            </w:r>
            <w:proofErr w:type="gramStart"/>
            <w:r w:rsidR="0073718D" w:rsidRPr="007371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has to</w:t>
            </w:r>
            <w:proofErr w:type="gramEnd"/>
            <w:r w:rsidR="00654A87" w:rsidRPr="007371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name the essential part or detail that is missing from each </w:t>
            </w:r>
            <w:r w:rsidR="002C10FE" w:rsidRPr="007371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image</w:t>
            </w:r>
            <w:r w:rsidR="00654A87" w:rsidRPr="007371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EC6D78" w:rsidRPr="00575820" w14:paraId="1FD5D788" w14:textId="77777777" w:rsidTr="00D92CC4">
        <w:tc>
          <w:tcPr>
            <w:tcW w:w="979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6642B6" w14:textId="19528777" w:rsidR="00EC6D78" w:rsidRPr="00575820" w:rsidRDefault="00EC6D78" w:rsidP="007B630E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TAP 2.1</w:t>
            </w:r>
            <w:r w:rsidR="00575820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E1A3287" w14:textId="6FC89BE3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Working memory score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E117342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E7F7B87" w14:textId="62EC62A7" w:rsidR="00EC6D78" w:rsidRPr="008B650D" w:rsidRDefault="00EC6D78" w:rsidP="005758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Working memory score consist</w:t>
            </w:r>
            <w:r w:rsidR="00A85705"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 the working memory median.</w:t>
            </w:r>
          </w:p>
        </w:tc>
      </w:tr>
      <w:tr w:rsidR="00EC6D78" w:rsidRPr="00575820" w14:paraId="52F754EF" w14:textId="77777777" w:rsidTr="00D92CC4">
        <w:trPr>
          <w:trHeight w:val="304"/>
        </w:trPr>
        <w:tc>
          <w:tcPr>
            <w:tcW w:w="979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69BA4289" w14:textId="77777777" w:rsidR="00EC6D78" w:rsidRPr="008B650D" w:rsidRDefault="00EC6D78" w:rsidP="007B63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978293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478FE18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3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B8BD81" w14:textId="77777777" w:rsidR="00EC6D78" w:rsidRPr="008B650D" w:rsidRDefault="00EC6D78" w:rsidP="005758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C6D78" w:rsidRPr="00575820" w14:paraId="1FB2A03A" w14:textId="77777777" w:rsidTr="00D92CC4">
        <w:trPr>
          <w:trHeight w:val="799"/>
        </w:trPr>
        <w:tc>
          <w:tcPr>
            <w:tcW w:w="979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823BC6" w14:textId="77777777" w:rsidR="00EC6D78" w:rsidRPr="008B650D" w:rsidRDefault="00EC6D78" w:rsidP="007B63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3C0ACD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77154B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Working memory median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95E93F" w14:textId="05DDB8D1" w:rsidR="00EC6D78" w:rsidRPr="008B650D" w:rsidRDefault="00EC6D78" w:rsidP="005758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</w:t>
            </w:r>
            <w:r w:rsidR="008B650D"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display</w:t>
            </w: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 front of the subject presents a sequence of numbers. The subject </w:t>
            </w:r>
            <w:proofErr w:type="gramStart"/>
            <w:r w:rsidR="008B650D"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has to</w:t>
            </w:r>
            <w:proofErr w:type="gramEnd"/>
            <w:r w:rsidR="008B650D"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react to certain simple or complex, mostly visual, </w:t>
            </w:r>
            <w:r w:rsidR="008B650D"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 times</w:t>
            </w: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(also) acoustic conditions by pressing one of two buttons as quickly as possible and without errors</w:t>
            </w:r>
            <w:r w:rsidR="00575820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</w:tbl>
    <w:p w14:paraId="35FCE74D" w14:textId="77777777" w:rsidR="00575820" w:rsidRDefault="00575820">
      <w:r>
        <w:br w:type="page"/>
      </w:r>
    </w:p>
    <w:tbl>
      <w:tblPr>
        <w:tblStyle w:val="Tabellenraster"/>
        <w:tblpPr w:leftFromText="141" w:rightFromText="141" w:vertAnchor="page" w:horzAnchor="margin" w:tblpY="1909"/>
        <w:tblW w:w="1431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1289"/>
        <w:gridCol w:w="2410"/>
        <w:gridCol w:w="9639"/>
      </w:tblGrid>
      <w:tr w:rsidR="00EC6D78" w:rsidRPr="00575820" w14:paraId="711EBA34" w14:textId="77777777" w:rsidTr="00D92CC4">
        <w:tc>
          <w:tcPr>
            <w:tcW w:w="979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B99016" w14:textId="065CED01" w:rsidR="00EC6D78" w:rsidRPr="00575820" w:rsidRDefault="00EC6D78" w:rsidP="007B630E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RBANS</w:t>
            </w:r>
            <w:r w:rsidR="00575820">
              <w:rPr>
                <w:vertAlign w:val="superscript"/>
              </w:rPr>
              <w:t>4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3D96C9D" w14:textId="00F52F9E" w:rsidR="00EC6D78" w:rsidRPr="008B650D" w:rsidRDefault="00A85705" w:rsidP="00A857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Attention index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728ADF6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EA67190" w14:textId="59306ACF" w:rsidR="00EC6D78" w:rsidRPr="008B650D" w:rsidRDefault="00EC6D78" w:rsidP="005758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Attention index is a compilation of the subtests </w:t>
            </w:r>
            <w:r w:rsidRPr="008B65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digit span</w:t>
            </w: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</w:t>
            </w:r>
            <w:r w:rsidRPr="008B650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coding</w:t>
            </w: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EC6D78" w:rsidRPr="00575820" w14:paraId="061DC1B0" w14:textId="77777777" w:rsidTr="00D92CC4">
        <w:trPr>
          <w:trHeight w:val="484"/>
        </w:trPr>
        <w:tc>
          <w:tcPr>
            <w:tcW w:w="979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42DA51B4" w14:textId="77777777" w:rsidR="00EC6D78" w:rsidRPr="008B650D" w:rsidRDefault="00EC6D78" w:rsidP="007B630E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C7D471F" w14:textId="77777777" w:rsidR="00EC6D78" w:rsidRPr="008B650D" w:rsidRDefault="00EC6D78" w:rsidP="007044AA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D1E5D34" w14:textId="77777777" w:rsidR="00EC6D78" w:rsidRPr="008B650D" w:rsidRDefault="00EC6D78" w:rsidP="007044AA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3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A9824" w14:textId="77777777" w:rsidR="00EC6D78" w:rsidRPr="008B650D" w:rsidRDefault="00EC6D78" w:rsidP="00575820">
            <w:pPr>
              <w:spacing w:before="2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C6D78" w:rsidRPr="00575820" w14:paraId="51864D86" w14:textId="77777777" w:rsidTr="00D92CC4">
        <w:trPr>
          <w:trHeight w:val="665"/>
        </w:trPr>
        <w:tc>
          <w:tcPr>
            <w:tcW w:w="97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3E9C34E9" w14:textId="77777777" w:rsidR="00EC6D78" w:rsidRPr="008B650D" w:rsidRDefault="00EC6D78" w:rsidP="007B63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69C6C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BA38A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Digit Span</w:t>
            </w: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4DC9D6" w14:textId="048864F7" w:rsidR="00EC6D78" w:rsidRPr="008B650D" w:rsidRDefault="00EC6D78" w:rsidP="005758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</w:t>
            </w:r>
            <w:r w:rsidR="008B650D"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investigator</w:t>
            </w: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reads a string of digits. The subject </w:t>
            </w:r>
            <w:r w:rsidR="008B650D"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has to</w:t>
            </w: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repeat the digits in the same order. The length of the digit string increases by one on each trial.</w:t>
            </w:r>
          </w:p>
        </w:tc>
      </w:tr>
      <w:tr w:rsidR="00EC6D78" w:rsidRPr="00575820" w14:paraId="70FCF749" w14:textId="77777777" w:rsidTr="00D92CC4">
        <w:trPr>
          <w:trHeight w:val="556"/>
        </w:trPr>
        <w:tc>
          <w:tcPr>
            <w:tcW w:w="979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58EBDE" w14:textId="77777777" w:rsidR="00EC6D78" w:rsidRPr="008B650D" w:rsidRDefault="00EC6D78" w:rsidP="007B63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5D637C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BE82F4" w14:textId="77777777" w:rsidR="00EC6D78" w:rsidRPr="008B650D" w:rsidRDefault="00EC6D78" w:rsidP="007044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Coding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A380A2" w14:textId="5BA6DE65" w:rsidR="00EC6D78" w:rsidRPr="008B650D" w:rsidRDefault="00EC6D78" w:rsidP="005758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page in front of the subject is filled with rows of boxes with a number from 1 to 9 above each box (in random sequence) and a blank space below the number. At the top of the page is a scheme with a unique, simple, geometric character beneath each of </w:t>
            </w:r>
            <w:r w:rsidR="00A85705"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numbers</w:t>
            </w:r>
            <w:r w:rsidRPr="008B6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Using the key, the subject must fill in the number corresponding to each character, for as many boxes as the subject can complete in 90 seconds.</w:t>
            </w:r>
          </w:p>
        </w:tc>
      </w:tr>
    </w:tbl>
    <w:p w14:paraId="1CE1A8C7" w14:textId="18148E72" w:rsidR="00575820" w:rsidRPr="00575820" w:rsidRDefault="00575820" w:rsidP="00575820">
      <w:pPr>
        <w:rPr>
          <w:rFonts w:ascii="Times New Roman" w:hAnsi="Times New Roman" w:cs="Times New Roman"/>
          <w:color w:val="222222"/>
          <w:sz w:val="11"/>
          <w:szCs w:val="16"/>
          <w:shd w:val="clear" w:color="auto" w:fill="FFFFFF"/>
        </w:rPr>
      </w:pPr>
    </w:p>
    <w:p w14:paraId="79C10B87" w14:textId="77777777" w:rsidR="00575820" w:rsidRDefault="00575820" w:rsidP="00575820">
      <w:pPr>
        <w:pStyle w:val="Funotentext"/>
        <w:rPr>
          <w:rFonts w:ascii="Times New Roman" w:hAnsi="Times New Roman" w:cs="Times New Roman"/>
          <w:sz w:val="18"/>
          <w:vertAlign w:val="superscript"/>
        </w:rPr>
      </w:pPr>
    </w:p>
    <w:p w14:paraId="6A170690" w14:textId="4981204D" w:rsidR="00575820" w:rsidRPr="00E55259" w:rsidRDefault="00575820" w:rsidP="00575820">
      <w:pPr>
        <w:pStyle w:val="Funotentex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  <w:vertAlign w:val="superscript"/>
        </w:rPr>
        <w:t>1</w:t>
      </w:r>
      <w:r w:rsidRPr="00E55259">
        <w:rPr>
          <w:rFonts w:ascii="Times New Roman" w:hAnsi="Times New Roman" w:cs="Times New Roman"/>
          <w:sz w:val="18"/>
        </w:rPr>
        <w:t xml:space="preserve">Aster, M., Neubauer, A. &amp; Horn, R. (Eds.) (2006). </w:t>
      </w:r>
      <w:r w:rsidRPr="00E55259">
        <w:rPr>
          <w:rFonts w:ascii="Times New Roman" w:hAnsi="Times New Roman" w:cs="Times New Roman"/>
          <w:i/>
          <w:sz w:val="18"/>
        </w:rPr>
        <w:t>Wechsler-Intelligenztest für Erwachsene WIE. Manual. Übersetzung und Adaptation der WAIS-III von David Wechsler</w:t>
      </w:r>
      <w:r w:rsidRPr="00E55259">
        <w:rPr>
          <w:rFonts w:ascii="Times New Roman" w:hAnsi="Times New Roman" w:cs="Times New Roman"/>
          <w:sz w:val="18"/>
        </w:rPr>
        <w:t>. Frankfurt am Main: Psychological Corporation.</w:t>
      </w:r>
    </w:p>
    <w:p w14:paraId="2CFE3A8B" w14:textId="77777777" w:rsidR="00575820" w:rsidRPr="00E55259" w:rsidRDefault="00575820" w:rsidP="00575820">
      <w:pPr>
        <w:pStyle w:val="Funotentext"/>
        <w:rPr>
          <w:rFonts w:ascii="Times New Roman" w:hAnsi="Times New Roman" w:cs="Times New Roman"/>
          <w:sz w:val="18"/>
        </w:rPr>
      </w:pPr>
      <w:r>
        <w:rPr>
          <w:rStyle w:val="Funotenzeichen"/>
          <w:rFonts w:ascii="Times New Roman" w:hAnsi="Times New Roman" w:cs="Times New Roman"/>
          <w:sz w:val="18"/>
        </w:rPr>
        <w:t>2</w:t>
      </w:r>
      <w:r w:rsidRPr="00E55259">
        <w:rPr>
          <w:rFonts w:ascii="Times New Roman" w:hAnsi="Times New Roman" w:cs="Times New Roman"/>
          <w:sz w:val="18"/>
        </w:rPr>
        <w:t xml:space="preserve">Zimmermann P. &amp; </w:t>
      </w:r>
      <w:proofErr w:type="spellStart"/>
      <w:r w:rsidRPr="00E55259">
        <w:rPr>
          <w:rFonts w:ascii="Times New Roman" w:hAnsi="Times New Roman" w:cs="Times New Roman"/>
          <w:sz w:val="18"/>
        </w:rPr>
        <w:t>Fimm</w:t>
      </w:r>
      <w:proofErr w:type="spellEnd"/>
      <w:r w:rsidRPr="00E55259">
        <w:rPr>
          <w:rFonts w:ascii="Times New Roman" w:hAnsi="Times New Roman" w:cs="Times New Roman"/>
          <w:sz w:val="18"/>
        </w:rPr>
        <w:t xml:space="preserve"> B. (1995). </w:t>
      </w:r>
      <w:r w:rsidRPr="00E55259">
        <w:rPr>
          <w:rFonts w:ascii="Times New Roman" w:hAnsi="Times New Roman" w:cs="Times New Roman"/>
          <w:i/>
          <w:sz w:val="18"/>
        </w:rPr>
        <w:t>Testaufmerksamkeitsbatterie zur Aufmerksamkeitsprüfung (TAP)</w:t>
      </w:r>
      <w:r w:rsidRPr="00E55259">
        <w:rPr>
          <w:rFonts w:ascii="Times New Roman" w:hAnsi="Times New Roman" w:cs="Times New Roman"/>
          <w:sz w:val="18"/>
        </w:rPr>
        <w:t xml:space="preserve">. Herzogenrath: </w:t>
      </w:r>
      <w:proofErr w:type="spellStart"/>
      <w:r w:rsidRPr="00E55259">
        <w:rPr>
          <w:rFonts w:ascii="Times New Roman" w:hAnsi="Times New Roman" w:cs="Times New Roman"/>
          <w:sz w:val="18"/>
        </w:rPr>
        <w:t>Psytest</w:t>
      </w:r>
      <w:proofErr w:type="spellEnd"/>
      <w:r w:rsidRPr="00E55259">
        <w:rPr>
          <w:rFonts w:ascii="Times New Roman" w:hAnsi="Times New Roman" w:cs="Times New Roman"/>
          <w:sz w:val="18"/>
        </w:rPr>
        <w:t>-Verlag.</w:t>
      </w:r>
    </w:p>
    <w:p w14:paraId="3018B1E0" w14:textId="77777777" w:rsidR="00575820" w:rsidRPr="00E55259" w:rsidRDefault="00575820" w:rsidP="00575820">
      <w:pPr>
        <w:pStyle w:val="Funotentext"/>
        <w:rPr>
          <w:rFonts w:ascii="Times New Roman" w:hAnsi="Times New Roman" w:cs="Times New Roman"/>
          <w:sz w:val="18"/>
        </w:rPr>
      </w:pPr>
      <w:r>
        <w:rPr>
          <w:rStyle w:val="Funotenzeichen"/>
          <w:rFonts w:ascii="Times New Roman" w:hAnsi="Times New Roman" w:cs="Times New Roman"/>
          <w:sz w:val="18"/>
        </w:rPr>
        <w:t>3</w:t>
      </w:r>
      <w:r w:rsidRPr="00E55259">
        <w:rPr>
          <w:rFonts w:ascii="Times New Roman" w:hAnsi="Times New Roman" w:cs="Times New Roman"/>
          <w:sz w:val="18"/>
        </w:rPr>
        <w:t>https://www.psytest.de/en/test-batteries/tap/subtests#working_memory, zuletzt aufgerufen am 15.06.2022</w:t>
      </w:r>
    </w:p>
    <w:p w14:paraId="6A57397F" w14:textId="77777777" w:rsidR="00575820" w:rsidRDefault="00575820" w:rsidP="00575820">
      <w:pPr>
        <w:rPr>
          <w:rFonts w:ascii="Times New Roman" w:hAnsi="Times New Roman" w:cs="Times New Roman"/>
          <w:color w:val="222222"/>
          <w:sz w:val="18"/>
          <w:shd w:val="clear" w:color="auto" w:fill="FFFFFF"/>
        </w:rPr>
      </w:pPr>
      <w:r w:rsidRPr="00575820">
        <w:rPr>
          <w:rStyle w:val="Funotenzeichen"/>
          <w:rFonts w:ascii="Times New Roman" w:hAnsi="Times New Roman" w:cs="Times New Roman"/>
          <w:sz w:val="18"/>
          <w:lang w:val="en-US"/>
        </w:rPr>
        <w:t>4</w:t>
      </w:r>
      <w:r w:rsidRPr="00E55259">
        <w:rPr>
          <w:rFonts w:ascii="Times New Roman" w:hAnsi="Times New Roman" w:cs="Times New Roman"/>
          <w:color w:val="222222"/>
          <w:sz w:val="18"/>
          <w:shd w:val="clear" w:color="auto" w:fill="FFFFFF"/>
          <w:lang w:val="en-US"/>
        </w:rPr>
        <w:t>Randolph, C. (1998). </w:t>
      </w:r>
      <w:r w:rsidRPr="00E55259">
        <w:rPr>
          <w:rFonts w:ascii="Times New Roman" w:hAnsi="Times New Roman" w:cs="Times New Roman"/>
          <w:i/>
          <w:iCs/>
          <w:color w:val="222222"/>
          <w:sz w:val="18"/>
          <w:shd w:val="clear" w:color="auto" w:fill="FFFFFF"/>
          <w:lang w:val="en-US"/>
        </w:rPr>
        <w:t>Repeatable Battery for the Assessment of Neuropsychological Status (RBANS)</w:t>
      </w:r>
      <w:r w:rsidRPr="00E55259">
        <w:rPr>
          <w:rFonts w:ascii="Times New Roman" w:hAnsi="Times New Roman" w:cs="Times New Roman"/>
          <w:color w:val="222222"/>
          <w:sz w:val="18"/>
          <w:shd w:val="clear" w:color="auto" w:fill="FFFFFF"/>
          <w:lang w:val="en-US"/>
        </w:rPr>
        <w:t xml:space="preserve">. </w:t>
      </w:r>
      <w:r w:rsidRPr="00E55259">
        <w:rPr>
          <w:rFonts w:ascii="Times New Roman" w:hAnsi="Times New Roman" w:cs="Times New Roman"/>
          <w:color w:val="222222"/>
          <w:sz w:val="18"/>
          <w:shd w:val="clear" w:color="auto" w:fill="FFFFFF"/>
        </w:rPr>
        <w:t>San Antonio, TX: Psychological Corporation (Harcourt).</w:t>
      </w:r>
    </w:p>
    <w:p w14:paraId="67A96F12" w14:textId="77777777" w:rsidR="00575820" w:rsidRPr="00575820" w:rsidRDefault="00575820" w:rsidP="00575820">
      <w:pPr>
        <w:rPr>
          <w:rFonts w:ascii="Times New Roman" w:hAnsi="Times New Roman" w:cs="Times New Roman"/>
          <w:sz w:val="20"/>
          <w:szCs w:val="20"/>
        </w:rPr>
      </w:pPr>
    </w:p>
    <w:sectPr w:rsidR="00575820" w:rsidRPr="00575820" w:rsidSect="008B650D">
      <w:pgSz w:w="16838" w:h="11906" w:orient="landscape"/>
      <w:pgMar w:top="1417" w:right="1417" w:bottom="137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23531" w14:textId="77777777" w:rsidR="00F738C9" w:rsidRDefault="00F738C9" w:rsidP="00EC6D78">
      <w:pPr>
        <w:spacing w:after="0" w:line="240" w:lineRule="auto"/>
      </w:pPr>
      <w:r>
        <w:separator/>
      </w:r>
    </w:p>
  </w:endnote>
  <w:endnote w:type="continuationSeparator" w:id="0">
    <w:p w14:paraId="52ACD057" w14:textId="77777777" w:rsidR="00F738C9" w:rsidRDefault="00F738C9" w:rsidP="00EC6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7BB5B" w14:textId="77777777" w:rsidR="00F738C9" w:rsidRDefault="00F738C9" w:rsidP="00EC6D78">
      <w:pPr>
        <w:spacing w:after="0" w:line="240" w:lineRule="auto"/>
      </w:pPr>
      <w:r>
        <w:separator/>
      </w:r>
    </w:p>
  </w:footnote>
  <w:footnote w:type="continuationSeparator" w:id="0">
    <w:p w14:paraId="7290F241" w14:textId="77777777" w:rsidR="00F738C9" w:rsidRDefault="00F738C9" w:rsidP="00EC6D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820"/>
    <w:rsid w:val="000708DA"/>
    <w:rsid w:val="000D4904"/>
    <w:rsid w:val="002C10FE"/>
    <w:rsid w:val="002C6088"/>
    <w:rsid w:val="00575820"/>
    <w:rsid w:val="00582093"/>
    <w:rsid w:val="0059235A"/>
    <w:rsid w:val="005F4F3C"/>
    <w:rsid w:val="006408CD"/>
    <w:rsid w:val="00654A87"/>
    <w:rsid w:val="006A2E8D"/>
    <w:rsid w:val="007044AA"/>
    <w:rsid w:val="0073718D"/>
    <w:rsid w:val="008A69DA"/>
    <w:rsid w:val="008B4DFB"/>
    <w:rsid w:val="008B650D"/>
    <w:rsid w:val="00A27820"/>
    <w:rsid w:val="00A73ECC"/>
    <w:rsid w:val="00A76F57"/>
    <w:rsid w:val="00A85705"/>
    <w:rsid w:val="00BC4D90"/>
    <w:rsid w:val="00BD1562"/>
    <w:rsid w:val="00C61A81"/>
    <w:rsid w:val="00D92CC4"/>
    <w:rsid w:val="00E55259"/>
    <w:rsid w:val="00EC6D78"/>
    <w:rsid w:val="00EE6388"/>
    <w:rsid w:val="00F43BBA"/>
    <w:rsid w:val="00F7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1AB14"/>
  <w15:chartTrackingRefBased/>
  <w15:docId w15:val="{A237BDAF-2531-44AA-86CA-4A7E26CE8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820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82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82093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A2E8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2E8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2E8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2E8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2E8D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2E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2E8D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C6D7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C6D7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C6D78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575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5820"/>
  </w:style>
  <w:style w:type="paragraph" w:styleId="Fuzeile">
    <w:name w:val="footer"/>
    <w:basedOn w:val="Standard"/>
    <w:link w:val="FuzeileZchn"/>
    <w:uiPriority w:val="99"/>
    <w:unhideWhenUsed/>
    <w:rsid w:val="00575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5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0353F-C464-4D0A-9989-ACF2D40AA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der Universitaet Muenchen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sarwagne</dc:creator>
  <cp:keywords/>
  <dc:description/>
  <cp:lastModifiedBy>Isabel Maurus</cp:lastModifiedBy>
  <cp:revision>3</cp:revision>
  <dcterms:created xsi:type="dcterms:W3CDTF">2022-09-13T11:11:00Z</dcterms:created>
  <dcterms:modified xsi:type="dcterms:W3CDTF">2022-10-04T12:07:00Z</dcterms:modified>
</cp:coreProperties>
</file>